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549EE" w14:textId="77777777" w:rsidR="003973BD" w:rsidRPr="003973BD" w:rsidRDefault="003973BD" w:rsidP="003973BD">
      <w:r w:rsidRPr="003973BD">
        <w:rPr>
          <w:u w:val="single"/>
        </w:rPr>
        <w:t>Software Solution Briefing Note</w:t>
      </w:r>
    </w:p>
    <w:p w14:paraId="49B1FB5D" w14:textId="77777777" w:rsidR="003973BD" w:rsidRPr="003973BD" w:rsidRDefault="003973BD" w:rsidP="003973BD">
      <w:r w:rsidRPr="003973BD">
        <w:t>Automated Conversion of PTC Creo 3D Models to IFC Format for External Fabrication Partners. Turmec is an engineering and manufacturing company specialising in the design and construction of recycling and waste processing systems. Our engineering team develops detailed 3D models using PTC Creo, which are subsequently used for manufacturing both internally and through a network of subcontract fabrication partners.</w:t>
      </w:r>
    </w:p>
    <w:p w14:paraId="4C04F8B3" w14:textId="77777777" w:rsidR="003973BD" w:rsidRPr="003973BD" w:rsidRDefault="003973BD" w:rsidP="003973BD">
      <w:r w:rsidRPr="003973BD">
        <w:t>Approximately 40% of fabrication work is completed in-house, with the remaining 60% subcontracted to external fabrication companies.</w:t>
      </w:r>
    </w:p>
    <w:p w14:paraId="75C5C3AA" w14:textId="77777777" w:rsidR="003973BD" w:rsidRPr="003973BD" w:rsidRDefault="003973BD" w:rsidP="003973BD">
      <w:r w:rsidRPr="003973BD">
        <w:t> </w:t>
      </w:r>
    </w:p>
    <w:p w14:paraId="3EF04C64" w14:textId="77777777" w:rsidR="003973BD" w:rsidRPr="003973BD" w:rsidRDefault="003973BD" w:rsidP="003973BD">
      <w:r w:rsidRPr="003973BD">
        <w:rPr>
          <w:u w:val="single"/>
        </w:rPr>
        <w:t>Project Background</w:t>
      </w:r>
    </w:p>
    <w:p w14:paraId="23AF6714" w14:textId="77777777" w:rsidR="003973BD" w:rsidRPr="003973BD" w:rsidRDefault="003973BD" w:rsidP="003973BD">
      <w:r w:rsidRPr="003973BD">
        <w:t>Our engineering department designs equipment and structures using PTC Creo. The current manufacturing workflow involves:</w:t>
      </w:r>
    </w:p>
    <w:p w14:paraId="1B124070" w14:textId="77777777" w:rsidR="003973BD" w:rsidRPr="003973BD" w:rsidRDefault="003973BD" w:rsidP="003973BD">
      <w:pPr>
        <w:numPr>
          <w:ilvl w:val="0"/>
          <w:numId w:val="1"/>
        </w:numPr>
      </w:pPr>
      <w:r w:rsidRPr="003973BD">
        <w:t>Creation of 3D models within PTC Creo.</w:t>
      </w:r>
    </w:p>
    <w:p w14:paraId="263EB7D2" w14:textId="77777777" w:rsidR="003973BD" w:rsidRPr="003973BD" w:rsidRDefault="003973BD" w:rsidP="003973BD">
      <w:pPr>
        <w:numPr>
          <w:ilvl w:val="0"/>
          <w:numId w:val="1"/>
        </w:numPr>
      </w:pPr>
      <w:r w:rsidRPr="003973BD">
        <w:t>Generation of PDF fabrication drawings.</w:t>
      </w:r>
    </w:p>
    <w:p w14:paraId="4F1EB06E" w14:textId="77777777" w:rsidR="003973BD" w:rsidRPr="003973BD" w:rsidRDefault="003973BD" w:rsidP="003973BD">
      <w:pPr>
        <w:numPr>
          <w:ilvl w:val="0"/>
          <w:numId w:val="1"/>
        </w:numPr>
      </w:pPr>
      <w:r w:rsidRPr="003973BD">
        <w:t>Generation of DXF files for sheet metal and profile-cut components.</w:t>
      </w:r>
    </w:p>
    <w:p w14:paraId="67634E31" w14:textId="77777777" w:rsidR="003973BD" w:rsidRPr="003973BD" w:rsidRDefault="003973BD" w:rsidP="003973BD">
      <w:pPr>
        <w:numPr>
          <w:ilvl w:val="0"/>
          <w:numId w:val="1"/>
        </w:numPr>
      </w:pPr>
      <w:r w:rsidRPr="003973BD">
        <w:t>Distribution of drawing packages to internal and external manufacturing partners.</w:t>
      </w:r>
    </w:p>
    <w:p w14:paraId="67BB8CA8" w14:textId="77777777" w:rsidR="003973BD" w:rsidRPr="003973BD" w:rsidRDefault="003973BD" w:rsidP="003973BD">
      <w:r w:rsidRPr="003973BD">
        <w:t> </w:t>
      </w:r>
    </w:p>
    <w:p w14:paraId="21100796" w14:textId="77777777" w:rsidR="003973BD" w:rsidRPr="003973BD" w:rsidRDefault="003973BD" w:rsidP="003973BD">
      <w:r w:rsidRPr="003973BD">
        <w:t>Whilst this process works effectively for our internal manufacturing operations, it creates inefficiencies for a significant proportion of our subcontractor base.</w:t>
      </w:r>
    </w:p>
    <w:p w14:paraId="7EFFD74F" w14:textId="77777777" w:rsidR="003973BD" w:rsidRPr="003973BD" w:rsidRDefault="003973BD" w:rsidP="003973BD">
      <w:r w:rsidRPr="003973BD">
        <w:t xml:space="preserve">Many of our fabrication partners specialise in structural steel fabrication and use Tekla Structures as their primary production software platform. </w:t>
      </w:r>
      <w:proofErr w:type="gramStart"/>
      <w:r w:rsidRPr="003973BD">
        <w:t>In order to</w:t>
      </w:r>
      <w:proofErr w:type="gramEnd"/>
      <w:r w:rsidRPr="003973BD">
        <w:t xml:space="preserve"> utilise our designs effectively within their manufacturing workflows, these subcontractors often need to recreate or remodel portions of our designs within Tekla Structures.</w:t>
      </w:r>
    </w:p>
    <w:p w14:paraId="37F3FF64" w14:textId="77777777" w:rsidR="003973BD" w:rsidRPr="003973BD" w:rsidRDefault="003973BD" w:rsidP="003973BD">
      <w:r w:rsidRPr="003973BD">
        <w:t>This duplication of effort introduces:</w:t>
      </w:r>
    </w:p>
    <w:p w14:paraId="26996563" w14:textId="77777777" w:rsidR="003973BD" w:rsidRPr="003973BD" w:rsidRDefault="003973BD" w:rsidP="003973BD">
      <w:pPr>
        <w:numPr>
          <w:ilvl w:val="0"/>
          <w:numId w:val="2"/>
        </w:numPr>
      </w:pPr>
      <w:r w:rsidRPr="003973BD">
        <w:t>Additional engineering cost.</w:t>
      </w:r>
    </w:p>
    <w:p w14:paraId="65D35A6F" w14:textId="77777777" w:rsidR="003973BD" w:rsidRPr="003973BD" w:rsidRDefault="003973BD" w:rsidP="003973BD">
      <w:pPr>
        <w:numPr>
          <w:ilvl w:val="0"/>
          <w:numId w:val="2"/>
        </w:numPr>
      </w:pPr>
      <w:r w:rsidRPr="003973BD">
        <w:t>Increased lead times.</w:t>
      </w:r>
    </w:p>
    <w:p w14:paraId="78413B7F" w14:textId="77777777" w:rsidR="003973BD" w:rsidRPr="003973BD" w:rsidRDefault="003973BD" w:rsidP="003973BD">
      <w:pPr>
        <w:numPr>
          <w:ilvl w:val="0"/>
          <w:numId w:val="2"/>
        </w:numPr>
      </w:pPr>
      <w:r w:rsidRPr="003973BD">
        <w:t>Potential for modelling errors.</w:t>
      </w:r>
    </w:p>
    <w:p w14:paraId="79947BE8" w14:textId="77777777" w:rsidR="003973BD" w:rsidRPr="003973BD" w:rsidRDefault="003973BD" w:rsidP="003973BD">
      <w:pPr>
        <w:numPr>
          <w:ilvl w:val="0"/>
          <w:numId w:val="2"/>
        </w:numPr>
      </w:pPr>
      <w:r w:rsidRPr="003973BD">
        <w:t>Reduced attractiveness of subcontracting opportunities.</w:t>
      </w:r>
    </w:p>
    <w:p w14:paraId="50626E63" w14:textId="77777777" w:rsidR="003973BD" w:rsidRPr="003973BD" w:rsidRDefault="003973BD" w:rsidP="003973BD">
      <w:r w:rsidRPr="003973BD">
        <w:t> </w:t>
      </w:r>
    </w:p>
    <w:p w14:paraId="326C8AED" w14:textId="77777777" w:rsidR="003973BD" w:rsidRDefault="003973BD" w:rsidP="003973BD">
      <w:pPr>
        <w:rPr>
          <w:u w:val="single"/>
        </w:rPr>
      </w:pPr>
    </w:p>
    <w:p w14:paraId="6B31B696" w14:textId="422577AA" w:rsidR="003973BD" w:rsidRPr="003973BD" w:rsidRDefault="003973BD" w:rsidP="003973BD">
      <w:r w:rsidRPr="003973BD">
        <w:rPr>
          <w:u w:val="single"/>
        </w:rPr>
        <w:lastRenderedPageBreak/>
        <w:t>Project Objective</w:t>
      </w:r>
    </w:p>
    <w:p w14:paraId="6D368489" w14:textId="77777777" w:rsidR="003973BD" w:rsidRPr="003973BD" w:rsidRDefault="003973BD" w:rsidP="003973BD">
      <w:r w:rsidRPr="003973BD">
        <w:t>Turmec is seeking a software solution that enables the reliable conversion of PTC Creo models into a format that can be readily utilised within Tekla Structures.</w:t>
      </w:r>
    </w:p>
    <w:p w14:paraId="5F877946" w14:textId="77777777" w:rsidR="003973BD" w:rsidRPr="003973BD" w:rsidRDefault="003973BD" w:rsidP="003973BD">
      <w:r w:rsidRPr="003973BD">
        <w:t>Based on discussions with Tekla, the preferred output format is: </w:t>
      </w:r>
      <w:r w:rsidRPr="003973BD">
        <w:rPr>
          <w:b/>
          <w:bCs/>
        </w:rPr>
        <w:t>IFC 2x3 Coordination View 2</w:t>
      </w:r>
    </w:p>
    <w:p w14:paraId="6B4455DB" w14:textId="77777777" w:rsidR="003973BD" w:rsidRPr="003973BD" w:rsidRDefault="003973BD" w:rsidP="003973BD">
      <w:r w:rsidRPr="003973BD">
        <w:t>The objective is to create a repeatable and scalable process that minimises or eliminates the need for subcontractors to recreate engineering models within Tekla Structures.</w:t>
      </w:r>
    </w:p>
    <w:p w14:paraId="5E735234" w14:textId="642033BD" w:rsidR="003973BD" w:rsidRPr="003973BD" w:rsidRDefault="003973BD" w:rsidP="003973BD">
      <w:r w:rsidRPr="003973BD">
        <w:rPr>
          <w:b/>
          <w:bCs/>
        </w:rPr>
        <w:t> </w:t>
      </w:r>
      <w:r w:rsidRPr="003973BD">
        <w:rPr>
          <w:u w:val="single"/>
        </w:rPr>
        <w:t>Desired Outcomes</w:t>
      </w:r>
    </w:p>
    <w:p w14:paraId="09257AA6" w14:textId="77777777" w:rsidR="003973BD" w:rsidRPr="003973BD" w:rsidRDefault="003973BD" w:rsidP="003973BD">
      <w:r w:rsidRPr="003973BD">
        <w:t>The successful solution should:</w:t>
      </w:r>
    </w:p>
    <w:p w14:paraId="7DDED90A" w14:textId="77777777" w:rsidR="003973BD" w:rsidRPr="003973BD" w:rsidRDefault="003973BD" w:rsidP="003973BD">
      <w:pPr>
        <w:numPr>
          <w:ilvl w:val="0"/>
          <w:numId w:val="3"/>
        </w:numPr>
      </w:pPr>
      <w:r w:rsidRPr="003973BD">
        <w:t>Convert Creo-generated models into IFC files suitable for import into Tekla Structures.</w:t>
      </w:r>
    </w:p>
    <w:p w14:paraId="69395150" w14:textId="77777777" w:rsidR="003973BD" w:rsidRPr="003973BD" w:rsidRDefault="003973BD" w:rsidP="003973BD">
      <w:pPr>
        <w:numPr>
          <w:ilvl w:val="0"/>
          <w:numId w:val="3"/>
        </w:numPr>
      </w:pPr>
      <w:r w:rsidRPr="003973BD">
        <w:t>Preserve geometry accuracy and structural relationships.</w:t>
      </w:r>
    </w:p>
    <w:p w14:paraId="56F14D7E" w14:textId="77777777" w:rsidR="003973BD" w:rsidRPr="003973BD" w:rsidRDefault="003973BD" w:rsidP="003973BD">
      <w:pPr>
        <w:numPr>
          <w:ilvl w:val="0"/>
          <w:numId w:val="3"/>
        </w:numPr>
      </w:pPr>
      <w:r w:rsidRPr="003973BD">
        <w:t>Minimise manual intervention within the conversion process.</w:t>
      </w:r>
    </w:p>
    <w:p w14:paraId="0236B60A" w14:textId="77777777" w:rsidR="003973BD" w:rsidRPr="003973BD" w:rsidRDefault="003973BD" w:rsidP="003973BD">
      <w:pPr>
        <w:numPr>
          <w:ilvl w:val="0"/>
          <w:numId w:val="3"/>
        </w:numPr>
      </w:pPr>
      <w:r w:rsidRPr="003973BD">
        <w:t>Produce files that can be effectively used by steel fabrication companies for detailing, fabrication planning and production.</w:t>
      </w:r>
    </w:p>
    <w:p w14:paraId="07F25A41" w14:textId="77777777" w:rsidR="003973BD" w:rsidRPr="003973BD" w:rsidRDefault="003973BD" w:rsidP="003973BD">
      <w:pPr>
        <w:numPr>
          <w:ilvl w:val="0"/>
          <w:numId w:val="3"/>
        </w:numPr>
      </w:pPr>
      <w:r w:rsidRPr="003973BD">
        <w:t>Reduce engineering effort required by subcontractors.</w:t>
      </w:r>
    </w:p>
    <w:p w14:paraId="777D2111" w14:textId="77777777" w:rsidR="003973BD" w:rsidRPr="003973BD" w:rsidRDefault="003973BD" w:rsidP="003973BD">
      <w:pPr>
        <w:numPr>
          <w:ilvl w:val="0"/>
          <w:numId w:val="3"/>
        </w:numPr>
      </w:pPr>
      <w:r w:rsidRPr="003973BD">
        <w:t>Improve subcontractor productivity and competitiveness.</w:t>
      </w:r>
    </w:p>
    <w:p w14:paraId="166A7584" w14:textId="77777777" w:rsidR="003973BD" w:rsidRPr="003973BD" w:rsidRDefault="003973BD" w:rsidP="003973BD">
      <w:pPr>
        <w:numPr>
          <w:ilvl w:val="0"/>
          <w:numId w:val="3"/>
        </w:numPr>
      </w:pPr>
      <w:r w:rsidRPr="003973BD">
        <w:t>Enable Turmec to expand its network of fabrication partners.</w:t>
      </w:r>
    </w:p>
    <w:p w14:paraId="0D2B0653" w14:textId="77777777" w:rsidR="003973BD" w:rsidRPr="003973BD" w:rsidRDefault="003973BD" w:rsidP="003973BD">
      <w:r w:rsidRPr="003973BD">
        <w:rPr>
          <w:b/>
          <w:bCs/>
        </w:rPr>
        <w:t> </w:t>
      </w:r>
    </w:p>
    <w:p w14:paraId="469E4890" w14:textId="0815A9F3" w:rsidR="003973BD" w:rsidRPr="003973BD" w:rsidRDefault="003973BD" w:rsidP="003973BD"/>
    <w:tbl>
      <w:tblPr>
        <w:tblW w:w="9026" w:type="dxa"/>
        <w:shd w:val="clear" w:color="auto" w:fill="FFFFFF"/>
        <w:tblCellMar>
          <w:left w:w="0" w:type="dxa"/>
          <w:right w:w="0" w:type="dxa"/>
        </w:tblCellMar>
        <w:tblLook w:val="04A0" w:firstRow="1" w:lastRow="0" w:firstColumn="1" w:lastColumn="0" w:noHBand="0" w:noVBand="1"/>
      </w:tblPr>
      <w:tblGrid>
        <w:gridCol w:w="9026"/>
      </w:tblGrid>
      <w:tr w:rsidR="003973BD" w:rsidRPr="003973BD" w14:paraId="4DF772F7" w14:textId="77777777" w:rsidTr="003973BD">
        <w:tc>
          <w:tcPr>
            <w:tcW w:w="9026" w:type="dxa"/>
            <w:tcBorders>
              <w:top w:val="single" w:sz="8" w:space="0" w:color="0085CA"/>
              <w:left w:val="nil"/>
              <w:bottom w:val="nil"/>
              <w:right w:val="nil"/>
            </w:tcBorders>
            <w:shd w:val="clear" w:color="auto" w:fill="FFFFFF"/>
            <w:vAlign w:val="center"/>
            <w:hideMark/>
          </w:tcPr>
          <w:p w14:paraId="36D2BF08" w14:textId="77777777" w:rsidR="003973BD" w:rsidRPr="003973BD" w:rsidRDefault="003973BD" w:rsidP="003973BD">
            <w:r w:rsidRPr="003973BD">
              <w:t> </w:t>
            </w:r>
          </w:p>
        </w:tc>
      </w:tr>
      <w:tr w:rsidR="003973BD" w:rsidRPr="003973BD" w14:paraId="5AF01623" w14:textId="77777777" w:rsidTr="003973BD">
        <w:tc>
          <w:tcPr>
            <w:tcW w:w="9026" w:type="dxa"/>
            <w:shd w:val="clear" w:color="auto" w:fill="FFFFFF"/>
            <w:vAlign w:val="center"/>
            <w:hideMark/>
          </w:tcPr>
          <w:p w14:paraId="29025E80" w14:textId="488756AC" w:rsidR="003973BD" w:rsidRPr="003973BD" w:rsidRDefault="003973BD" w:rsidP="003973BD">
            <w:r w:rsidRPr="003973BD">
              <w:rPr>
                <w:b/>
                <w:bCs/>
                <w:noProof/>
              </w:rPr>
              <w:drawing>
                <wp:inline distT="0" distB="0" distL="0" distR="0" wp14:anchorId="25E0A922" wp14:editId="091A7B98">
                  <wp:extent cx="5731510" cy="1430020"/>
                  <wp:effectExtent l="0" t="0" r="2540" b="0"/>
                  <wp:docPr id="1249417860"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430020"/>
                          </a:xfrm>
                          <a:prstGeom prst="rect">
                            <a:avLst/>
                          </a:prstGeom>
                          <a:noFill/>
                          <a:ln>
                            <a:noFill/>
                          </a:ln>
                        </pic:spPr>
                      </pic:pic>
                    </a:graphicData>
                  </a:graphic>
                </wp:inline>
              </w:drawing>
            </w:r>
          </w:p>
        </w:tc>
      </w:tr>
      <w:tr w:rsidR="003973BD" w:rsidRPr="003973BD" w14:paraId="31B08F80" w14:textId="77777777" w:rsidTr="003973BD">
        <w:tc>
          <w:tcPr>
            <w:tcW w:w="9026" w:type="dxa"/>
            <w:shd w:val="clear" w:color="auto" w:fill="FFFFFF"/>
            <w:vAlign w:val="center"/>
            <w:hideMark/>
          </w:tcPr>
          <w:p w14:paraId="478E1B0D" w14:textId="77777777" w:rsidR="003973BD" w:rsidRPr="003973BD" w:rsidRDefault="003973BD" w:rsidP="003973BD"/>
        </w:tc>
      </w:tr>
      <w:tr w:rsidR="003973BD" w:rsidRPr="003973BD" w14:paraId="53A9A561" w14:textId="77777777" w:rsidTr="003973BD">
        <w:tc>
          <w:tcPr>
            <w:tcW w:w="9026" w:type="dxa"/>
            <w:shd w:val="clear" w:color="auto" w:fill="FFFFFF"/>
            <w:vAlign w:val="center"/>
            <w:hideMark/>
          </w:tcPr>
          <w:p w14:paraId="5D7DE9CE" w14:textId="77777777" w:rsidR="003973BD" w:rsidRDefault="003973BD" w:rsidP="003973BD">
            <w:proofErr w:type="spellStart"/>
            <w:r w:rsidRPr="003973BD">
              <w:t>Rathcairn</w:t>
            </w:r>
            <w:proofErr w:type="spellEnd"/>
            <w:r w:rsidRPr="003973BD">
              <w:t>, Athboy, Co. Meath, Ireland - C15 TP04</w:t>
            </w:r>
          </w:p>
          <w:p w14:paraId="4EF2CCDA" w14:textId="77777777" w:rsidR="003973BD" w:rsidRPr="003973BD" w:rsidRDefault="003973BD" w:rsidP="003973BD">
            <w:hyperlink r:id="rId6" w:tgtFrame="_blank" w:tooltip="http://www.turmec.com/" w:history="1">
              <w:r w:rsidRPr="003973BD">
                <w:rPr>
                  <w:rStyle w:val="Hyperlink"/>
                  <w:b/>
                  <w:bCs/>
                </w:rPr>
                <w:t>www.turmec.com</w:t>
              </w:r>
            </w:hyperlink>
            <w:r w:rsidRPr="003973BD">
              <w:rPr>
                <w:b/>
                <w:bCs/>
              </w:rPr>
              <w:t>    P Please consider the environment before printing this email</w:t>
            </w:r>
          </w:p>
        </w:tc>
      </w:tr>
    </w:tbl>
    <w:p w14:paraId="68B16533" w14:textId="77777777" w:rsidR="00C95F08" w:rsidRDefault="00C95F08"/>
    <w:sectPr w:rsidR="00C95F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13FC1"/>
    <w:multiLevelType w:val="multilevel"/>
    <w:tmpl w:val="33B6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5F24CC"/>
    <w:multiLevelType w:val="multilevel"/>
    <w:tmpl w:val="A0021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B96D11"/>
    <w:multiLevelType w:val="multilevel"/>
    <w:tmpl w:val="E866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8670839">
    <w:abstractNumId w:val="2"/>
  </w:num>
  <w:num w:numId="2" w16cid:durableId="581917019">
    <w:abstractNumId w:val="0"/>
  </w:num>
  <w:num w:numId="3" w16cid:durableId="203387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BD"/>
    <w:rsid w:val="00200F76"/>
    <w:rsid w:val="003973BD"/>
    <w:rsid w:val="003D43FE"/>
    <w:rsid w:val="004B57BD"/>
    <w:rsid w:val="009B3FFC"/>
    <w:rsid w:val="00C95F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CC771"/>
  <w15:chartTrackingRefBased/>
  <w15:docId w15:val="{AD847F5F-48D6-40FE-9C0B-1F48D019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3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3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3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3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3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3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3BD"/>
    <w:rPr>
      <w:rFonts w:eastAsiaTheme="majorEastAsia" w:cstheme="majorBidi"/>
      <w:color w:val="272727" w:themeColor="text1" w:themeTint="D8"/>
    </w:rPr>
  </w:style>
  <w:style w:type="paragraph" w:styleId="Title">
    <w:name w:val="Title"/>
    <w:basedOn w:val="Normal"/>
    <w:next w:val="Normal"/>
    <w:link w:val="TitleChar"/>
    <w:uiPriority w:val="10"/>
    <w:qFormat/>
    <w:rsid w:val="00397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3BD"/>
    <w:pPr>
      <w:spacing w:before="160"/>
      <w:jc w:val="center"/>
    </w:pPr>
    <w:rPr>
      <w:i/>
      <w:iCs/>
      <w:color w:val="404040" w:themeColor="text1" w:themeTint="BF"/>
    </w:rPr>
  </w:style>
  <w:style w:type="character" w:customStyle="1" w:styleId="QuoteChar">
    <w:name w:val="Quote Char"/>
    <w:basedOn w:val="DefaultParagraphFont"/>
    <w:link w:val="Quote"/>
    <w:uiPriority w:val="29"/>
    <w:rsid w:val="003973BD"/>
    <w:rPr>
      <w:i/>
      <w:iCs/>
      <w:color w:val="404040" w:themeColor="text1" w:themeTint="BF"/>
    </w:rPr>
  </w:style>
  <w:style w:type="paragraph" w:styleId="ListParagraph">
    <w:name w:val="List Paragraph"/>
    <w:basedOn w:val="Normal"/>
    <w:uiPriority w:val="34"/>
    <w:qFormat/>
    <w:rsid w:val="003973BD"/>
    <w:pPr>
      <w:ind w:left="720"/>
      <w:contextualSpacing/>
    </w:pPr>
  </w:style>
  <w:style w:type="character" w:styleId="IntenseEmphasis">
    <w:name w:val="Intense Emphasis"/>
    <w:basedOn w:val="DefaultParagraphFont"/>
    <w:uiPriority w:val="21"/>
    <w:qFormat/>
    <w:rsid w:val="003973BD"/>
    <w:rPr>
      <w:i/>
      <w:iCs/>
      <w:color w:val="0F4761" w:themeColor="accent1" w:themeShade="BF"/>
    </w:rPr>
  </w:style>
  <w:style w:type="paragraph" w:styleId="IntenseQuote">
    <w:name w:val="Intense Quote"/>
    <w:basedOn w:val="Normal"/>
    <w:next w:val="Normal"/>
    <w:link w:val="IntenseQuoteChar"/>
    <w:uiPriority w:val="30"/>
    <w:qFormat/>
    <w:rsid w:val="00397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3BD"/>
    <w:rPr>
      <w:i/>
      <w:iCs/>
      <w:color w:val="0F4761" w:themeColor="accent1" w:themeShade="BF"/>
    </w:rPr>
  </w:style>
  <w:style w:type="character" w:styleId="IntenseReference">
    <w:name w:val="Intense Reference"/>
    <w:basedOn w:val="DefaultParagraphFont"/>
    <w:uiPriority w:val="32"/>
    <w:qFormat/>
    <w:rsid w:val="003973BD"/>
    <w:rPr>
      <w:b/>
      <w:bCs/>
      <w:smallCaps/>
      <w:color w:val="0F4761" w:themeColor="accent1" w:themeShade="BF"/>
      <w:spacing w:val="5"/>
    </w:rPr>
  </w:style>
  <w:style w:type="character" w:styleId="Hyperlink">
    <w:name w:val="Hyperlink"/>
    <w:basedOn w:val="DefaultParagraphFont"/>
    <w:uiPriority w:val="99"/>
    <w:unhideWhenUsed/>
    <w:rsid w:val="003973BD"/>
    <w:rPr>
      <w:color w:val="467886" w:themeColor="hyperlink"/>
      <w:u w:val="single"/>
    </w:rPr>
  </w:style>
  <w:style w:type="character" w:styleId="UnresolvedMention">
    <w:name w:val="Unresolved Mention"/>
    <w:basedOn w:val="DefaultParagraphFont"/>
    <w:uiPriority w:val="99"/>
    <w:semiHidden/>
    <w:unhideWhenUsed/>
    <w:rsid w:val="00397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rmec.com/"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7513C2BF29846897124CD30D97C17" ma:contentTypeVersion="9" ma:contentTypeDescription="Create a new document." ma:contentTypeScope="" ma:versionID="405096d0c6f5ed1b24f90839292cbb4e">
  <xsd:schema xmlns:xsd="http://www.w3.org/2001/XMLSchema" xmlns:xs="http://www.w3.org/2001/XMLSchema" xmlns:p="http://schemas.microsoft.com/office/2006/metadata/properties" xmlns:ns2="b5d1ccd9-aea6-4478-b885-a9b3306e0553" xmlns:ns3="76ca803e-1427-4777-98bc-b0c72760ca48" targetNamespace="http://schemas.microsoft.com/office/2006/metadata/properties" ma:root="true" ma:fieldsID="518d8feabed722bb333114dd15f74afd" ns2:_="" ns3:_="">
    <xsd:import namespace="b5d1ccd9-aea6-4478-b885-a9b3306e0553"/>
    <xsd:import namespace="76ca803e-1427-4777-98bc-b0c72760c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1ccd9-aea6-4478-b885-a9b3306e0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6c5bdd-784c-4b88-bed2-5e0b616cd6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ca803e-1427-4777-98bc-b0c72760ca4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ec0ea4b-8f68-4ee5-81b1-35e46847a7bb}" ma:internalName="TaxCatchAll" ma:showField="CatchAllData" ma:web="76ca803e-1427-4777-98bc-b0c72760c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d1ccd9-aea6-4478-b885-a9b3306e0553">
      <Terms xmlns="http://schemas.microsoft.com/office/infopath/2007/PartnerControls"/>
    </lcf76f155ced4ddcb4097134ff3c332f>
    <TaxCatchAll xmlns="76ca803e-1427-4777-98bc-b0c72760ca48" xsi:nil="true"/>
  </documentManagement>
</p:properties>
</file>

<file path=customXml/itemProps1.xml><?xml version="1.0" encoding="utf-8"?>
<ds:datastoreItem xmlns:ds="http://schemas.openxmlformats.org/officeDocument/2006/customXml" ds:itemID="{5FC7F2A7-85FB-408E-9D0F-9C3BE82858FB}"/>
</file>

<file path=customXml/itemProps2.xml><?xml version="1.0" encoding="utf-8"?>
<ds:datastoreItem xmlns:ds="http://schemas.openxmlformats.org/officeDocument/2006/customXml" ds:itemID="{5E6E5320-9761-4F8E-9FAA-E0A3CE70D3B2}"/>
</file>

<file path=customXml/itemProps3.xml><?xml version="1.0" encoding="utf-8"?>
<ds:datastoreItem xmlns:ds="http://schemas.openxmlformats.org/officeDocument/2006/customXml" ds:itemID="{599195C8-C599-42CD-B5ED-72E9B3580FF2}"/>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McGrath</dc:creator>
  <cp:keywords/>
  <dc:description/>
  <cp:lastModifiedBy>Julie Finlay</cp:lastModifiedBy>
  <cp:revision>2</cp:revision>
  <dcterms:created xsi:type="dcterms:W3CDTF">2026-06-26T10:06:00Z</dcterms:created>
  <dcterms:modified xsi:type="dcterms:W3CDTF">2026-06-26T10:06:00Z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0x010100E7C7513C2BF29846897124CD30D97C17</vt:lpwstr>
  </property>
</Properties>
</file>